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2"/>
        <w:contextualSpacing w:val="0"/>
        <w:rPr/>
      </w:pPr>
      <w:bookmarkStart w:colFirst="0" w:colLast="0" w:name="_d4nq3hy3y3et" w:id="0"/>
      <w:bookmarkEnd w:id="0"/>
      <w:r w:rsidDel="00000000" w:rsidR="00000000" w:rsidRPr="00000000">
        <w:rPr>
          <w:rtl w:val="0"/>
        </w:rPr>
        <w:t xml:space="preserve">TZ: Konflikt zájmů mezi politikou a energetickým průmyslem musí skončit</w:t>
      </w:r>
    </w:p>
    <w:p w:rsidR="00000000" w:rsidDel="00000000" w:rsidP="00000000" w:rsidRDefault="00000000" w:rsidRPr="00000000" w14:paraId="00000001">
      <w:pPr>
        <w:contextualSpacing w:val="0"/>
        <w:rPr/>
      </w:pPr>
      <w:r w:rsidDel="00000000" w:rsidR="00000000" w:rsidRPr="00000000">
        <w:rPr>
          <w:rtl w:val="0"/>
        </w:rPr>
        <w:t xml:space="preserve">Plynárenský průmysl utratil v roce 2016 více než 100 milionů eur za lobbing na úrovni Evropské unie. Se dvěma evropskými komisaři a jejich členy jejich kabinetů se lobbisti setkali 460 krát. Energetické firmy přitom často najímají bývalé politiky a úředníky, aby snázeji ovlivňovali energetickou politiku.</w:t>
      </w:r>
    </w:p>
    <w:p w:rsidR="00000000" w:rsidDel="00000000" w:rsidP="00000000" w:rsidRDefault="00000000" w:rsidRPr="00000000" w14:paraId="00000002">
      <w:pPr>
        <w:contextualSpacing w:val="0"/>
        <w:rPr/>
      </w:pPr>
      <w:r w:rsidDel="00000000" w:rsidR="00000000" w:rsidRPr="00000000">
        <w:rPr>
          <w:rtl w:val="0"/>
        </w:rPr>
      </w:r>
    </w:p>
    <w:p w:rsidR="00000000" w:rsidDel="00000000" w:rsidP="00000000" w:rsidRDefault="00000000" w:rsidRPr="00000000" w14:paraId="00000003">
      <w:pPr>
        <w:contextualSpacing w:val="0"/>
        <w:rPr/>
      </w:pPr>
      <w:r w:rsidDel="00000000" w:rsidR="00000000" w:rsidRPr="00000000">
        <w:rPr>
          <w:rtl w:val="0"/>
        </w:rPr>
        <w:t xml:space="preserve">Také v České republice jsou dveře mezi byznysem a politikou otevřené. Dva bývalí premiéři nyní pracují pro soukromý sektor - Mirek Topolánek přímo v energetickém sektoru. V aktuální vládě v demisi je 6 ministrů, kteří v posledních pěti letech pracovali na manažerských pozicích v soukromé sféře. Čtyři z těchto ministrů mají přitom v gesci oblast, ve které v soukromém sektoru pracovali.</w:t>
      </w:r>
    </w:p>
    <w:p w:rsidR="00000000" w:rsidDel="00000000" w:rsidP="00000000" w:rsidRDefault="00000000" w:rsidRPr="00000000" w14:paraId="00000004">
      <w:pPr>
        <w:contextualSpacing w:val="0"/>
        <w:rPr/>
      </w:pP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t xml:space="preserve">Při příležitosti začátku vyjednávání dalších postupů Rámcové úmluvy OSN o změně klimatu (UNFCC) v německém Bonnu dne Zelení v Evropském parlamentu vydali zprávu o průchodnosti mezi politikou a soukromým sektorem. Evropská unie a její členské země se totiž zatím při vyjednávání nových pravidel proti konflikt zájmů při UNFCC nechovají příliš konstruktivně. Požadavek na efektivnější boj proti konfliktu zájmů byl přitom vznesen státy reprezentujícími přes 70 % světové populace. Tento požadavek je však zatím při vyjednáváních blokován zejména státy Evropské unie, Kanadou a USA.</w:t>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contextualSpacing w:val="0"/>
        <w:rPr/>
      </w:pPr>
      <w:r w:rsidDel="00000000" w:rsidR="00000000" w:rsidRPr="00000000">
        <w:rPr>
          <w:rtl w:val="0"/>
        </w:rPr>
        <w:t xml:space="preserve">Evropská unie má nyní jedinečnou příležitost převzít zodpovědnost a při aktuálních jednáních v Bonnu od 30. dubna do 10. května přispět k přijetí pravidel proti konfliktu zájmů.</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rtl w:val="0"/>
        </w:rPr>
        <w:t xml:space="preserve">Dnes, 2. května v 10:30, spoluorganizují Zelení v Evropském parlamentu tiskovou konferenci k vydání zprávy. Můžete ji sledovat online na </w:t>
      </w:r>
      <w:hyperlink r:id="rId6">
        <w:r w:rsidDel="00000000" w:rsidR="00000000" w:rsidRPr="00000000">
          <w:rPr>
            <w:color w:val="1155cc"/>
            <w:u w:val="single"/>
            <w:rtl w:val="0"/>
          </w:rPr>
          <w:t xml:space="preserve">https://unfccc-sb48.cloud.streamworld.de/upcoming</w:t>
        </w:r>
      </w:hyperlink>
      <w:r w:rsidDel="00000000" w:rsidR="00000000" w:rsidRPr="00000000">
        <w:rPr>
          <w:rtl w:val="0"/>
        </w:rPr>
        <w:t xml:space="preserve"> (vyberte si ze seznamu tiskovou konferenci Corporate Europe Observatory).</w:t>
      </w: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contextualSpacing w:val="0"/>
        <w:rPr/>
      </w:pPr>
      <w:r w:rsidDel="00000000" w:rsidR="00000000" w:rsidRPr="00000000">
        <w:rPr>
          <w:b w:val="1"/>
          <w:rtl w:val="0"/>
        </w:rPr>
        <w:t xml:space="preserve">Max Andersson</w:t>
      </w:r>
      <w:r w:rsidDel="00000000" w:rsidR="00000000" w:rsidRPr="00000000">
        <w:rPr>
          <w:rtl w:val="0"/>
        </w:rPr>
        <w:t xml:space="preserve">, švédský europoslanec za Zelené, k tomu říká:</w:t>
      </w:r>
    </w:p>
    <w:p w:rsidR="00000000" w:rsidDel="00000000" w:rsidP="00000000" w:rsidRDefault="00000000" w:rsidRPr="00000000" w14:paraId="0000000C">
      <w:pPr>
        <w:contextualSpacing w:val="0"/>
        <w:rPr/>
      </w:pPr>
      <w:r w:rsidDel="00000000" w:rsidR="00000000" w:rsidRPr="00000000">
        <w:rPr>
          <w:rtl w:val="0"/>
        </w:rPr>
        <w:t xml:space="preserve"> </w:t>
      </w:r>
    </w:p>
    <w:p w:rsidR="00000000" w:rsidDel="00000000" w:rsidP="00000000" w:rsidRDefault="00000000" w:rsidRPr="00000000" w14:paraId="0000000D">
      <w:pPr>
        <w:contextualSpacing w:val="0"/>
        <w:rPr/>
      </w:pPr>
      <w:r w:rsidDel="00000000" w:rsidR="00000000" w:rsidRPr="00000000">
        <w:rPr>
          <w:rtl w:val="0"/>
        </w:rPr>
        <w:t xml:space="preserve">„Mezi politikou a energetickým průmyslem, zejména tím produkujícím fosilní paliva, jsou v Evropě dveře dokořán. A nejde jen o pár případů, jde o systémový problém. Firmy produkující a zpracovávající fosilní paliva mají enormní ekonomická zájem na tom, aby se boj s klimatickou změnou opožďoval. Proto jsou pravidla proti konfliktům zájmů tak důležitá.</w:t>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rtl w:val="0"/>
        </w:rPr>
        <w:t xml:space="preserve">Pokud mají být splněny cíle Pařížské dohody a globální oteplování zpomaleno, musíme přitvrdit v boji proti konfliktu zájmů uhelných, plynových a ropných společností, které se boj s klimatickou změnou snaží ovlivňovat.“</w:t>
      </w:r>
    </w:p>
    <w:p w:rsidR="00000000" w:rsidDel="00000000" w:rsidP="00000000" w:rsidRDefault="00000000" w:rsidRPr="00000000" w14:paraId="00000010">
      <w:pPr>
        <w:contextualSpacing w:val="0"/>
        <w:rPr/>
      </w:pPr>
      <w:r w:rsidDel="00000000" w:rsidR="00000000" w:rsidRPr="00000000">
        <w:rPr>
          <w:rtl w:val="0"/>
        </w:rPr>
        <w:t xml:space="preserve"> </w:t>
      </w:r>
    </w:p>
    <w:p w:rsidR="00000000" w:rsidDel="00000000" w:rsidP="00000000" w:rsidRDefault="00000000" w:rsidRPr="00000000" w14:paraId="00000011">
      <w:pPr>
        <w:contextualSpacing w:val="0"/>
        <w:rPr/>
      </w:pPr>
      <w:r w:rsidDel="00000000" w:rsidR="00000000" w:rsidRPr="00000000">
        <w:rPr>
          <w:rtl w:val="0"/>
        </w:rPr>
        <w:t xml:space="preserve">„Evropské vlády by měly podpořit volání zdravého rozumu a podpořit regulaci konfliktu zájmů, aby další klimatické konference mohly přijít s výsledkem, který pomůže vrátit našemu klimatu rovnováhu.“</w:t>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contextualSpacing w:val="0"/>
        <w:rPr/>
      </w:pPr>
      <w:r w:rsidDel="00000000" w:rsidR="00000000" w:rsidRPr="00000000">
        <w:rPr>
          <w:b w:val="1"/>
          <w:rtl w:val="0"/>
        </w:rPr>
        <w:t xml:space="preserve">Petr Štěpánek</w:t>
      </w:r>
      <w:r w:rsidDel="00000000" w:rsidR="00000000" w:rsidRPr="00000000">
        <w:rPr>
          <w:rtl w:val="0"/>
        </w:rPr>
        <w:t xml:space="preserve">, předseda českých Zelených, dodává:</w:t>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rtl w:val="0"/>
        </w:rPr>
        <w:t xml:space="preserve">„Že i v Česku máme vážné případy konfliktu zájmů v éře Andreje Babiše nikoho nepřekvapí. Tento problém ale nepřišel až s ním, vzpomeňme třeba na bývalého premiéra Mirka Topolánka. Proto i v Česku potřebujeme kvalitní legislativu, která omezí konflikty zájmů a nastaví jasná pravidla pro přechod mezi veřejnou a soukromou sférou.“</w:t>
      </w:r>
    </w:p>
    <w:p w:rsidR="00000000" w:rsidDel="00000000" w:rsidP="00000000" w:rsidRDefault="00000000" w:rsidRPr="00000000" w14:paraId="00000016">
      <w:pPr>
        <w:contextualSpacing w:val="0"/>
        <w:rPr/>
      </w:pPr>
      <w:r w:rsidDel="00000000" w:rsidR="00000000" w:rsidRPr="00000000">
        <w:rPr>
          <w:rtl w:val="0"/>
        </w:rPr>
      </w:r>
    </w:p>
    <w:p w:rsidR="00000000" w:rsidDel="00000000" w:rsidP="00000000" w:rsidRDefault="00000000" w:rsidRPr="00000000" w14:paraId="00000017">
      <w:pPr>
        <w:contextualSpacing w:val="0"/>
        <w:rPr>
          <w:b w:val="1"/>
        </w:rPr>
      </w:pPr>
      <w:r w:rsidDel="00000000" w:rsidR="00000000" w:rsidRPr="00000000">
        <w:rPr>
          <w:b w:val="1"/>
          <w:rtl w:val="0"/>
        </w:rPr>
        <w:t xml:space="preserve">O zprávě Zelených v Evropském parlamentu</w:t>
      </w:r>
    </w:p>
    <w:p w:rsidR="00000000" w:rsidDel="00000000" w:rsidP="00000000" w:rsidRDefault="00000000" w:rsidRPr="00000000" w14:paraId="00000018">
      <w:pPr>
        <w:contextualSpacing w:val="0"/>
        <w:rPr/>
      </w:pPr>
      <w:r w:rsidDel="00000000" w:rsidR="00000000" w:rsidRPr="00000000">
        <w:rPr>
          <w:rtl w:val="0"/>
        </w:rPr>
        <w:t xml:space="preserve"> </w:t>
      </w:r>
    </w:p>
    <w:p w:rsidR="00000000" w:rsidDel="00000000" w:rsidP="00000000" w:rsidRDefault="00000000" w:rsidRPr="00000000" w14:paraId="00000019">
      <w:pPr>
        <w:contextualSpacing w:val="0"/>
        <w:rPr/>
      </w:pPr>
      <w:r w:rsidDel="00000000" w:rsidR="00000000" w:rsidRPr="00000000">
        <w:rPr>
          <w:rtl w:val="0"/>
        </w:rPr>
        <w:t xml:space="preserve">Zpráva se zaměřila na Belgii, Českou republiku, Dánsko, Francii, Itálii, Maďarsko, Německo, Norsko, Polsko, Rakousko, Španělsko, Švédsko a Velkou Británii. Stáhnout si ji můžete z webu českých Zelených: </w:t>
      </w:r>
      <w:hyperlink r:id="rId7">
        <w:r w:rsidDel="00000000" w:rsidR="00000000" w:rsidRPr="00000000">
          <w:rPr>
            <w:color w:val="1155cc"/>
            <w:u w:val="single"/>
            <w:rtl w:val="0"/>
          </w:rPr>
          <w:t xml:space="preserve">https://www.zeleni.cz/wp-content/uploads/2018/05/Report-of-REVOLVING-DOORS_DIGITAL_.pdf</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A">
      <w:pPr>
        <w:contextualSpacing w:val="0"/>
        <w:rPr/>
      </w:pPr>
      <w:r w:rsidDel="00000000" w:rsidR="00000000" w:rsidRPr="00000000">
        <w:rPr>
          <w:rtl w:val="0"/>
        </w:rPr>
        <w:t xml:space="preserve"> </w:t>
      </w:r>
    </w:p>
    <w:p w:rsidR="00000000" w:rsidDel="00000000" w:rsidP="00000000" w:rsidRDefault="00000000" w:rsidRPr="00000000" w14:paraId="0000001B">
      <w:pPr>
        <w:contextualSpacing w:val="0"/>
        <w:rPr/>
      </w:pPr>
      <w:r w:rsidDel="00000000" w:rsidR="00000000" w:rsidRPr="00000000">
        <w:rPr>
          <w:rtl w:val="0"/>
        </w:rPr>
        <w:t xml:space="preserve">Závěry zprávy jsou:</w:t>
      </w:r>
    </w:p>
    <w:p w:rsidR="00000000" w:rsidDel="00000000" w:rsidP="00000000" w:rsidRDefault="00000000" w:rsidRPr="00000000" w14:paraId="0000001C">
      <w:pPr>
        <w:contextualSpacing w:val="0"/>
        <w:rPr/>
      </w:pPr>
      <w:r w:rsidDel="00000000" w:rsidR="00000000" w:rsidRPr="00000000">
        <w:rPr>
          <w:rtl w:val="0"/>
        </w:rPr>
        <w:t xml:space="preserve">- Průchodnost mezi politikou a byznysem je systematická a široce rozšířená. Zpráva se zaměřila na 13 států a zejména na průmysl spojený s fosilními palivy a odhalila nejméně 88 případů ministrů, poradců, regulátorů a politiků, kteří těmito otevřenými dveřmi prošli.</w:t>
      </w:r>
    </w:p>
    <w:p w:rsidR="00000000" w:rsidDel="00000000" w:rsidP="00000000" w:rsidRDefault="00000000" w:rsidRPr="00000000" w14:paraId="0000001D">
      <w:pPr>
        <w:contextualSpacing w:val="0"/>
        <w:rPr/>
      </w:pPr>
      <w:r w:rsidDel="00000000" w:rsidR="00000000" w:rsidRPr="00000000">
        <w:rPr>
          <w:rtl w:val="0"/>
        </w:rPr>
        <w:t xml:space="preserve">- Chybí legislativa, která zajišťovala, že boj s klimatickou změnou není podkopáván vlastními zájmy byznysu. Tam, kde legislativa existuje, není řádně aplikována a hlídána.</w:t>
      </w:r>
    </w:p>
    <w:p w:rsidR="00000000" w:rsidDel="00000000" w:rsidP="00000000" w:rsidRDefault="00000000" w:rsidRPr="00000000" w14:paraId="0000001E">
      <w:pPr>
        <w:contextualSpacing w:val="0"/>
        <w:rPr/>
      </w:pPr>
      <w:r w:rsidDel="00000000" w:rsidR="00000000" w:rsidRPr="00000000">
        <w:rPr>
          <w:rtl w:val="0"/>
        </w:rPr>
        <w:t xml:space="preserve">- Je třeba přijmout pravidla proti konfliktu zájmů jak na úrovni OSN, tak EU a členských států, aby byl veřejný zájem chráněn před masivním vlivem byznysu, a to nejen v otázce boje s klimatickou změnou.</w:t>
      </w:r>
    </w:p>
    <w:p w:rsidR="00000000" w:rsidDel="00000000" w:rsidP="00000000" w:rsidRDefault="00000000" w:rsidRPr="00000000" w14:paraId="0000001F">
      <w:pPr>
        <w:contextualSpacing w:val="0"/>
        <w:rPr/>
      </w:pPr>
      <w:r w:rsidDel="00000000" w:rsidR="00000000" w:rsidRPr="00000000">
        <w:rPr>
          <w:rtl w:val="0"/>
        </w:rPr>
      </w:r>
    </w:p>
    <w:p w:rsidR="00000000" w:rsidDel="00000000" w:rsidP="00000000" w:rsidRDefault="00000000" w:rsidRPr="00000000" w14:paraId="00000020">
      <w:pPr>
        <w:contextualSpacing w:val="0"/>
        <w:rPr>
          <w:color w:val="1155cc"/>
          <w:u w:val="single"/>
        </w:rPr>
      </w:pPr>
      <w:r w:rsidDel="00000000" w:rsidR="00000000" w:rsidRPr="00000000">
        <w:rPr>
          <w:rtl w:val="0"/>
        </w:rPr>
        <w:t xml:space="preserve">Včera byly také některým delegátům předány dopisy upozorňující na neřešení problému konfliktu zájmů. Poté následovala společná tisková konference s organizacemi Corporate Accountability a Corporate Europe Observatory, kterou můžete zhlédnout zde: </w:t>
      </w:r>
      <w:r w:rsidDel="00000000" w:rsidR="00000000" w:rsidRPr="00000000">
        <w:fldChar w:fldCharType="begin"/>
        <w:instrText xml:space="preserve"> HYPERLINK "https://unfccc-sb48.cloud.streamworld.de/webcast/corporate-accountability-international" </w:instrText>
        <w:fldChar w:fldCharType="separate"/>
      </w:r>
      <w:r w:rsidDel="00000000" w:rsidR="00000000" w:rsidRPr="00000000">
        <w:rPr>
          <w:color w:val="1155cc"/>
          <w:u w:val="single"/>
          <w:rtl w:val="0"/>
        </w:rPr>
        <w:t xml:space="preserve">https://unfccc-sb48.cloud.streamworld.de/webcast/corporate-accountability-international</w:t>
      </w:r>
    </w:p>
    <w:p w:rsidR="00000000" w:rsidDel="00000000" w:rsidP="00000000" w:rsidRDefault="00000000" w:rsidRPr="00000000" w14:paraId="00000021">
      <w:pPr>
        <w:contextualSpacing w:val="0"/>
        <w:rPr/>
      </w:pPr>
      <w:r w:rsidDel="00000000" w:rsidR="00000000" w:rsidRPr="00000000">
        <w:fldChar w:fldCharType="end"/>
      </w: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unfccc-sb48.cloud.streamworld.de/upcoming" TargetMode="External"/><Relationship Id="rId7" Type="http://schemas.openxmlformats.org/officeDocument/2006/relationships/hyperlink" Target="https://www.zeleni.cz/wp-content/uploads/2018/05/Report-of-REVOLVING-DOORS_DIGITAL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